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850C84">
        <w:rPr>
          <w:color w:val="365F91"/>
        </w:rPr>
        <w:t>25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032FCC">
        <w:rPr>
          <w:color w:val="365F91"/>
        </w:rPr>
        <w:t>марта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613BC5">
        <w:rPr>
          <w:color w:val="365F91"/>
        </w:rPr>
        <w:t>00079/</w:t>
      </w:r>
      <w:r w:rsidR="00850C84">
        <w:rPr>
          <w:color w:val="365F91"/>
        </w:rPr>
        <w:t>3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proofErr w:type="gramStart"/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«Томскэнергосбыт»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032FCC">
        <w:t>ПАО</w:t>
      </w:r>
      <w:r w:rsidR="00032FCC" w:rsidRPr="00C363CE">
        <w:t xml:space="preserve"> «Томскэнергосбыт»</w:t>
      </w:r>
      <w:r w:rsidR="00032FCC">
        <w:t xml:space="preserve"> (</w:t>
      </w:r>
      <w:r w:rsidR="00032FCC" w:rsidRPr="00C363CE">
        <w:t>634034, г. Томск, ул. Котовского, 19</w:t>
      </w:r>
      <w:r w:rsidR="00032FCC"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</w:t>
      </w:r>
      <w:r w:rsidR="00032FCC">
        <w:rPr>
          <w:lang w:eastAsia="en-US"/>
        </w:rPr>
        <w:t xml:space="preserve"> светодиодных светильников «</w:t>
      </w:r>
      <w:proofErr w:type="spellStart"/>
      <w:r w:rsidR="00032FCC">
        <w:rPr>
          <w:lang w:eastAsia="en-US"/>
        </w:rPr>
        <w:t>Inteks</w:t>
      </w:r>
      <w:proofErr w:type="spellEnd"/>
      <w:r w:rsidR="00032FCC">
        <w:rPr>
          <w:lang w:eastAsia="en-US"/>
        </w:rPr>
        <w:t>» для нужд ПАО «Томскэнергосбыт»</w:t>
      </w:r>
      <w:r w:rsidR="00451233">
        <w:t>.</w:t>
      </w:r>
      <w:proofErr w:type="gramEnd"/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032FCC">
        <w:t>27</w:t>
      </w:r>
      <w:r w:rsidRPr="00D27185">
        <w:t xml:space="preserve">» </w:t>
      </w:r>
      <w:r w:rsidR="00032FCC">
        <w:t>февраля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850C84">
        <w:t>02</w:t>
      </w:r>
      <w:r w:rsidRPr="00D27185">
        <w:t xml:space="preserve">» </w:t>
      </w:r>
      <w:r w:rsidR="00850C84">
        <w:t>апреля</w:t>
      </w:r>
      <w:bookmarkStart w:id="0" w:name="_GoBack"/>
      <w:bookmarkEnd w:id="0"/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</w:t>
      </w:r>
      <w:r w:rsidR="00032FCC">
        <w:t>иной информационной системе до 10</w:t>
      </w:r>
      <w:r w:rsidRPr="00D27185">
        <w:t>:00 (по московскому времени) «</w:t>
      </w:r>
      <w:r w:rsidR="00850C84">
        <w:t>0</w:t>
      </w:r>
      <w:r w:rsidR="00613BC5">
        <w:t>5</w:t>
      </w:r>
      <w:r w:rsidR="00451233">
        <w:t xml:space="preserve">» </w:t>
      </w:r>
      <w:r w:rsidR="00850C84">
        <w:t>апреля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850C84">
        <w:t>15</w:t>
      </w:r>
      <w:r w:rsidRPr="00D27185">
        <w:t xml:space="preserve">» </w:t>
      </w:r>
      <w:r w:rsidR="00613BC5">
        <w:t>апреля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850C84">
        <w:t>29</w:t>
      </w:r>
      <w:r w:rsidRPr="00D27185">
        <w:t xml:space="preserve">» </w:t>
      </w:r>
      <w:r w:rsidR="00032FCC">
        <w:t>апреля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850C84">
        <w:t>7</w:t>
      </w:r>
      <w:r w:rsidRPr="00D27185">
        <w:t xml:space="preserve">» </w:t>
      </w:r>
      <w:r w:rsidR="00850C84">
        <w:t>мая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3A186E" w:rsidRDefault="003A186E" w:rsidP="00D27185">
      <w:pPr>
        <w:ind w:left="709"/>
        <w:contextualSpacing/>
        <w:jc w:val="both"/>
        <w:outlineLvl w:val="0"/>
      </w:pPr>
    </w:p>
    <w:sectPr w:rsidR="003A186E" w:rsidSect="007859EC">
      <w:footerReference w:type="default" r:id="rId9"/>
      <w:headerReference w:type="first" r:id="rId10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04" w:rsidRPr="001F6E84" w:rsidRDefault="00032FCC" w:rsidP="00032FCC">
    <w:pPr>
      <w:pStyle w:val="a4"/>
      <w:tabs>
        <w:tab w:val="clear" w:pos="4677"/>
        <w:tab w:val="clear" w:pos="9355"/>
        <w:tab w:val="center" w:pos="4395"/>
        <w:tab w:val="right" w:pos="9498"/>
      </w:tabs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4F445890" wp14:editId="0C0668DA">
          <wp:extent cx="2734310" cy="1224915"/>
          <wp:effectExtent l="0" t="0" r="8890" b="0"/>
          <wp:docPr id="1" name="Рисунок 1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32FCC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A186E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13BC5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0C84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BCC1-7ABA-4346-89BD-29DD131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Некрасов Андрей Викторович</cp:lastModifiedBy>
  <cp:revision>71</cp:revision>
  <cp:lastPrinted>2019-03-25T02:02:00Z</cp:lastPrinted>
  <dcterms:created xsi:type="dcterms:W3CDTF">2013-05-20T07:05:00Z</dcterms:created>
  <dcterms:modified xsi:type="dcterms:W3CDTF">2019-03-25T02:04:00Z</dcterms:modified>
</cp:coreProperties>
</file>